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A20C02" w14:textId="77777777" w:rsidR="005F6ABD" w:rsidRDefault="00000000">
      <w:pPr>
        <w:spacing w:line="256" w:lineRule="auto"/>
        <w:rPr>
          <w:rFonts w:ascii="Calibri" w:eastAsia="Calibri" w:hAnsi="Calibri" w:cs="Calibri"/>
          <w:sz w:val="24"/>
          <w:szCs w:val="24"/>
        </w:rPr>
      </w:pPr>
      <w:r>
        <w:rPr>
          <w:noProof/>
        </w:rPr>
        <w:drawing>
          <wp:anchor distT="114300" distB="114300" distL="114300" distR="114300" simplePos="0" relativeHeight="251658240" behindDoc="0" locked="0" layoutInCell="1" hidden="0" allowOverlap="1" wp14:anchorId="4EBD8DE9" wp14:editId="58FA0D5E">
            <wp:simplePos x="0" y="0"/>
            <wp:positionH relativeFrom="column">
              <wp:posOffset>19051</wp:posOffset>
            </wp:positionH>
            <wp:positionV relativeFrom="paragraph">
              <wp:posOffset>114300</wp:posOffset>
            </wp:positionV>
            <wp:extent cx="1271588" cy="127158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71588" cy="1271588"/>
                    </a:xfrm>
                    <a:prstGeom prst="rect">
                      <a:avLst/>
                    </a:prstGeom>
                    <a:ln/>
                  </pic:spPr>
                </pic:pic>
              </a:graphicData>
            </a:graphic>
          </wp:anchor>
        </w:drawing>
      </w:r>
      <w:r>
        <w:rPr>
          <w:noProof/>
        </w:rPr>
        <w:drawing>
          <wp:anchor distT="0" distB="0" distL="0" distR="0" simplePos="0" relativeHeight="251659264" behindDoc="0" locked="0" layoutInCell="1" hidden="0" allowOverlap="1" wp14:anchorId="0BDFB44E" wp14:editId="2014D00E">
            <wp:simplePos x="0" y="0"/>
            <wp:positionH relativeFrom="column">
              <wp:posOffset>4962525</wp:posOffset>
            </wp:positionH>
            <wp:positionV relativeFrom="paragraph">
              <wp:posOffset>0</wp:posOffset>
            </wp:positionV>
            <wp:extent cx="1401663" cy="1319213"/>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01663" cy="1319213"/>
                    </a:xfrm>
                    <a:prstGeom prst="rect">
                      <a:avLst/>
                    </a:prstGeom>
                    <a:ln/>
                  </pic:spPr>
                </pic:pic>
              </a:graphicData>
            </a:graphic>
          </wp:anchor>
        </w:drawing>
      </w:r>
    </w:p>
    <w:p w14:paraId="55B366D7" w14:textId="77777777" w:rsidR="005F6ABD" w:rsidRDefault="00000000">
      <w:pPr>
        <w:spacing w:line="256" w:lineRule="auto"/>
        <w:rPr>
          <w:rFonts w:ascii="Calibri" w:eastAsia="Calibri" w:hAnsi="Calibri" w:cs="Calibri"/>
          <w:sz w:val="24"/>
          <w:szCs w:val="24"/>
        </w:rPr>
      </w:pPr>
      <w:r>
        <w:rPr>
          <w:rFonts w:ascii="Calibri" w:eastAsia="Calibri" w:hAnsi="Calibri" w:cs="Calibri"/>
          <w:sz w:val="24"/>
          <w:szCs w:val="24"/>
        </w:rPr>
        <w:tab/>
      </w:r>
    </w:p>
    <w:p w14:paraId="5E7D3632" w14:textId="77777777" w:rsidR="005F6ABD" w:rsidRDefault="005F6ABD">
      <w:pPr>
        <w:spacing w:line="256" w:lineRule="auto"/>
        <w:rPr>
          <w:rFonts w:ascii="Calibri" w:eastAsia="Calibri" w:hAnsi="Calibri" w:cs="Calibri"/>
          <w:sz w:val="24"/>
          <w:szCs w:val="24"/>
        </w:rPr>
      </w:pPr>
    </w:p>
    <w:p w14:paraId="0495122E" w14:textId="77777777" w:rsidR="005F6ABD" w:rsidRDefault="005F6ABD">
      <w:pPr>
        <w:spacing w:line="256" w:lineRule="auto"/>
        <w:rPr>
          <w:rFonts w:ascii="Calibri" w:eastAsia="Calibri" w:hAnsi="Calibri" w:cs="Calibri"/>
          <w:sz w:val="24"/>
          <w:szCs w:val="24"/>
        </w:rPr>
      </w:pPr>
    </w:p>
    <w:p w14:paraId="65E72568" w14:textId="77777777" w:rsidR="005F6ABD" w:rsidRDefault="005F6ABD">
      <w:pPr>
        <w:spacing w:line="256" w:lineRule="auto"/>
        <w:rPr>
          <w:rFonts w:ascii="Calibri" w:eastAsia="Calibri" w:hAnsi="Calibri" w:cs="Calibri"/>
          <w:sz w:val="24"/>
          <w:szCs w:val="24"/>
        </w:rPr>
      </w:pPr>
    </w:p>
    <w:p w14:paraId="6F92F78C" w14:textId="77777777" w:rsidR="005F6ABD" w:rsidRDefault="005F6ABD">
      <w:pPr>
        <w:spacing w:line="256" w:lineRule="auto"/>
        <w:rPr>
          <w:rFonts w:ascii="Calibri" w:eastAsia="Calibri" w:hAnsi="Calibri" w:cs="Calibri"/>
          <w:sz w:val="24"/>
          <w:szCs w:val="24"/>
        </w:rPr>
      </w:pPr>
    </w:p>
    <w:p w14:paraId="742F9DDB" w14:textId="77777777" w:rsidR="005F6ABD" w:rsidRDefault="005F6ABD">
      <w:pPr>
        <w:spacing w:line="256" w:lineRule="auto"/>
        <w:jc w:val="center"/>
        <w:rPr>
          <w:rFonts w:ascii="Calibri" w:eastAsia="Calibri" w:hAnsi="Calibri" w:cs="Calibri"/>
          <w:b/>
          <w:color w:val="0563C1"/>
          <w:sz w:val="56"/>
          <w:szCs w:val="56"/>
        </w:rPr>
      </w:pPr>
    </w:p>
    <w:p w14:paraId="61C7DF41" w14:textId="77777777" w:rsidR="005F6ABD" w:rsidRDefault="00000000">
      <w:pPr>
        <w:spacing w:line="256" w:lineRule="auto"/>
        <w:jc w:val="center"/>
        <w:rPr>
          <w:rFonts w:ascii="Calibri" w:eastAsia="Calibri" w:hAnsi="Calibri" w:cs="Calibri"/>
          <w:b/>
          <w:color w:val="0563C1"/>
          <w:sz w:val="56"/>
          <w:szCs w:val="56"/>
        </w:rPr>
      </w:pPr>
      <w:r>
        <w:rPr>
          <w:rFonts w:ascii="Calibri" w:eastAsia="Calibri" w:hAnsi="Calibri" w:cs="Calibri"/>
          <w:b/>
          <w:color w:val="0563C1"/>
          <w:sz w:val="56"/>
          <w:szCs w:val="56"/>
        </w:rPr>
        <w:t>TTF’s Advisory Group</w:t>
      </w:r>
    </w:p>
    <w:p w14:paraId="4BCCB4D4" w14:textId="77777777" w:rsidR="005F6ABD" w:rsidRDefault="00000000">
      <w:pPr>
        <w:jc w:val="center"/>
        <w:rPr>
          <w:rFonts w:ascii="Calibri" w:eastAsia="Calibri" w:hAnsi="Calibri" w:cs="Calibri"/>
          <w:b/>
          <w:color w:val="0563C1"/>
          <w:sz w:val="48"/>
          <w:szCs w:val="48"/>
        </w:rPr>
      </w:pPr>
      <w:r>
        <w:rPr>
          <w:rFonts w:ascii="Calibri" w:eastAsia="Calibri" w:hAnsi="Calibri" w:cs="Calibri"/>
          <w:b/>
          <w:color w:val="0563C1"/>
          <w:sz w:val="48"/>
          <w:szCs w:val="48"/>
        </w:rPr>
        <w:t>Meeting Notes</w:t>
      </w:r>
    </w:p>
    <w:p w14:paraId="0741F84B" w14:textId="77777777" w:rsidR="005F6ABD" w:rsidRDefault="00000000">
      <w:pPr>
        <w:spacing w:after="160" w:line="256" w:lineRule="auto"/>
        <w:jc w:val="center"/>
        <w:rPr>
          <w:rFonts w:ascii="Calibri" w:eastAsia="Calibri" w:hAnsi="Calibri" w:cs="Calibri"/>
          <w:b/>
          <w:color w:val="0563C1"/>
          <w:sz w:val="32"/>
          <w:szCs w:val="32"/>
        </w:rPr>
      </w:pPr>
      <w:r>
        <w:rPr>
          <w:rFonts w:ascii="Calibri" w:eastAsia="Calibri" w:hAnsi="Calibri" w:cs="Calibri"/>
          <w:b/>
          <w:color w:val="0563C1"/>
          <w:sz w:val="32"/>
          <w:szCs w:val="32"/>
        </w:rPr>
        <w:t>11th July 2025, held on Zoom from 3:00PM to 4:00PM</w:t>
      </w:r>
    </w:p>
    <w:p w14:paraId="08DF0F78" w14:textId="77777777" w:rsidR="005F6ABD" w:rsidRDefault="00000000">
      <w:r>
        <w:t xml:space="preserve"> </w:t>
      </w:r>
    </w:p>
    <w:p w14:paraId="7061273D" w14:textId="77777777" w:rsidR="005F6ABD" w:rsidRDefault="00000000">
      <w:pPr>
        <w:rPr>
          <w:rFonts w:ascii="Calibri" w:eastAsia="Calibri" w:hAnsi="Calibri" w:cs="Calibri"/>
          <w:sz w:val="24"/>
          <w:szCs w:val="24"/>
        </w:rPr>
      </w:pPr>
      <w:r>
        <w:rPr>
          <w:rFonts w:ascii="Calibri" w:eastAsia="Calibri" w:hAnsi="Calibri" w:cs="Calibri"/>
          <w:b/>
          <w:color w:val="0563C1"/>
          <w:sz w:val="28"/>
          <w:szCs w:val="28"/>
        </w:rPr>
        <w:t xml:space="preserve">Attendees - all are members of TTF’s Advisory Group, see </w:t>
      </w:r>
      <w:hyperlink r:id="rId7">
        <w:r>
          <w:rPr>
            <w:rFonts w:ascii="Calibri" w:eastAsia="Calibri" w:hAnsi="Calibri" w:cs="Calibri"/>
            <w:b/>
            <w:color w:val="1155CC"/>
            <w:sz w:val="28"/>
            <w:szCs w:val="28"/>
            <w:u w:val="single"/>
          </w:rPr>
          <w:t>here</w:t>
        </w:r>
      </w:hyperlink>
    </w:p>
    <w:p w14:paraId="5A2B3549" w14:textId="77777777" w:rsidR="005F6ABD" w:rsidRDefault="00000000">
      <w:pPr>
        <w:rPr>
          <w:rFonts w:ascii="Calibri" w:eastAsia="Calibri" w:hAnsi="Calibri" w:cs="Calibri"/>
          <w:sz w:val="24"/>
          <w:szCs w:val="24"/>
        </w:rPr>
      </w:pPr>
      <w:r>
        <w:rPr>
          <w:rFonts w:ascii="Calibri" w:eastAsia="Calibri" w:hAnsi="Calibri" w:cs="Calibri"/>
          <w:sz w:val="24"/>
          <w:szCs w:val="24"/>
        </w:rPr>
        <w:t xml:space="preserve"> </w:t>
      </w:r>
    </w:p>
    <w:p w14:paraId="46A8218A" w14:textId="77777777" w:rsidR="005F6ABD" w:rsidRDefault="00000000">
      <w:pPr>
        <w:numPr>
          <w:ilvl w:val="0"/>
          <w:numId w:val="5"/>
        </w:numPr>
        <w:rPr>
          <w:rFonts w:ascii="Calibri" w:eastAsia="Calibri" w:hAnsi="Calibri" w:cs="Calibri"/>
          <w:sz w:val="24"/>
          <w:szCs w:val="24"/>
        </w:rPr>
      </w:pPr>
      <w:r>
        <w:rPr>
          <w:rFonts w:ascii="Calibri" w:eastAsia="Calibri" w:hAnsi="Calibri" w:cs="Calibri"/>
          <w:sz w:val="24"/>
          <w:szCs w:val="24"/>
        </w:rPr>
        <w:t>John Howard, Chair</w:t>
      </w:r>
    </w:p>
    <w:p w14:paraId="3B1B73D0" w14:textId="77777777" w:rsidR="005F6ABD" w:rsidRDefault="00000000">
      <w:pPr>
        <w:numPr>
          <w:ilvl w:val="0"/>
          <w:numId w:val="5"/>
        </w:numPr>
        <w:rPr>
          <w:rFonts w:ascii="Calibri" w:eastAsia="Calibri" w:hAnsi="Calibri" w:cs="Calibri"/>
          <w:sz w:val="24"/>
          <w:szCs w:val="24"/>
        </w:rPr>
      </w:pPr>
      <w:r>
        <w:rPr>
          <w:rFonts w:ascii="Calibri" w:eastAsia="Calibri" w:hAnsi="Calibri" w:cs="Calibri"/>
          <w:sz w:val="24"/>
          <w:szCs w:val="24"/>
        </w:rPr>
        <w:t>Mark Bishop</w:t>
      </w:r>
    </w:p>
    <w:p w14:paraId="2736D3BF" w14:textId="77777777" w:rsidR="005F6ABD" w:rsidRDefault="00000000">
      <w:pPr>
        <w:numPr>
          <w:ilvl w:val="0"/>
          <w:numId w:val="5"/>
        </w:numPr>
        <w:rPr>
          <w:rFonts w:ascii="Calibri" w:eastAsia="Calibri" w:hAnsi="Calibri" w:cs="Calibri"/>
          <w:sz w:val="24"/>
          <w:szCs w:val="24"/>
        </w:rPr>
      </w:pPr>
      <w:r>
        <w:rPr>
          <w:rFonts w:ascii="Calibri" w:eastAsia="Calibri" w:hAnsi="Calibri" w:cs="Calibri"/>
          <w:sz w:val="24"/>
          <w:szCs w:val="24"/>
        </w:rPr>
        <w:t>Martin White</w:t>
      </w:r>
    </w:p>
    <w:p w14:paraId="7D66106A"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Lou Dolan</w:t>
      </w:r>
    </w:p>
    <w:p w14:paraId="4F909E07"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Lou Baxter-Scott</w:t>
      </w:r>
    </w:p>
    <w:p w14:paraId="7A0B658E"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David Pitt-Watson</w:t>
      </w:r>
    </w:p>
    <w:p w14:paraId="2243F1D2"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Steve Conly; new member</w:t>
      </w:r>
    </w:p>
    <w:p w14:paraId="23A0DB3C"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 Andy Agathangelou, Founder of TTF</w:t>
      </w:r>
    </w:p>
    <w:p w14:paraId="6D074D62" w14:textId="77777777" w:rsidR="005F6ABD" w:rsidRDefault="005F6ABD">
      <w:pPr>
        <w:rPr>
          <w:rFonts w:ascii="Calibri" w:eastAsia="Calibri" w:hAnsi="Calibri" w:cs="Calibri"/>
          <w:sz w:val="24"/>
          <w:szCs w:val="24"/>
        </w:rPr>
      </w:pPr>
    </w:p>
    <w:p w14:paraId="4C309878" w14:textId="77777777" w:rsidR="005F6ABD" w:rsidRDefault="00000000">
      <w:pPr>
        <w:rPr>
          <w:rFonts w:ascii="Calibri" w:eastAsia="Calibri" w:hAnsi="Calibri" w:cs="Calibri"/>
          <w:sz w:val="24"/>
          <w:szCs w:val="24"/>
        </w:rPr>
      </w:pPr>
      <w:r>
        <w:rPr>
          <w:rFonts w:ascii="Calibri" w:eastAsia="Calibri" w:hAnsi="Calibri" w:cs="Calibri"/>
          <w:sz w:val="24"/>
          <w:szCs w:val="24"/>
        </w:rPr>
        <w:t>Apologies:</w:t>
      </w:r>
    </w:p>
    <w:p w14:paraId="7F5614C6" w14:textId="77777777" w:rsidR="005F6ABD" w:rsidRDefault="005F6ABD">
      <w:pPr>
        <w:rPr>
          <w:rFonts w:ascii="Calibri" w:eastAsia="Calibri" w:hAnsi="Calibri" w:cs="Calibri"/>
          <w:sz w:val="24"/>
          <w:szCs w:val="24"/>
        </w:rPr>
      </w:pPr>
    </w:p>
    <w:p w14:paraId="2467E053"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Roger Mullin</w:t>
      </w:r>
    </w:p>
    <w:p w14:paraId="40159550"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JB Becket</w:t>
      </w:r>
    </w:p>
    <w:p w14:paraId="170DEAA4"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Steve Kenzie</w:t>
      </w:r>
    </w:p>
    <w:p w14:paraId="0BEF617C"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Stephen McPartland</w:t>
      </w:r>
    </w:p>
    <w:p w14:paraId="797B8598" w14:textId="77777777" w:rsidR="005F6ABD" w:rsidRDefault="00000000">
      <w:pPr>
        <w:numPr>
          <w:ilvl w:val="0"/>
          <w:numId w:val="2"/>
        </w:numPr>
        <w:rPr>
          <w:rFonts w:ascii="Calibri" w:eastAsia="Calibri" w:hAnsi="Calibri" w:cs="Calibri"/>
          <w:sz w:val="24"/>
          <w:szCs w:val="24"/>
        </w:rPr>
      </w:pPr>
      <w:r>
        <w:rPr>
          <w:rFonts w:ascii="Calibri" w:eastAsia="Calibri" w:hAnsi="Calibri" w:cs="Calibri"/>
          <w:sz w:val="24"/>
          <w:szCs w:val="24"/>
        </w:rPr>
        <w:t>Mark Falcon</w:t>
      </w:r>
    </w:p>
    <w:p w14:paraId="12C1173A" w14:textId="77777777" w:rsidR="005F6ABD" w:rsidRDefault="005F6ABD">
      <w:pPr>
        <w:rPr>
          <w:rFonts w:ascii="Calibri" w:eastAsia="Calibri" w:hAnsi="Calibri" w:cs="Calibri"/>
          <w:sz w:val="24"/>
          <w:szCs w:val="24"/>
        </w:rPr>
      </w:pPr>
    </w:p>
    <w:p w14:paraId="14A4BB0E" w14:textId="77777777" w:rsidR="005F6ABD" w:rsidRDefault="00000000">
      <w:pPr>
        <w:rPr>
          <w:rFonts w:ascii="Calibri" w:eastAsia="Calibri" w:hAnsi="Calibri" w:cs="Calibri"/>
          <w:b/>
          <w:color w:val="0563C1"/>
          <w:sz w:val="28"/>
          <w:szCs w:val="28"/>
        </w:rPr>
      </w:pPr>
      <w:r>
        <w:rPr>
          <w:rFonts w:ascii="Calibri" w:eastAsia="Calibri" w:hAnsi="Calibri" w:cs="Calibri"/>
          <w:b/>
          <w:color w:val="0563C1"/>
          <w:sz w:val="28"/>
          <w:szCs w:val="28"/>
        </w:rPr>
        <w:t>CONFLICTS OF INTEREST</w:t>
      </w:r>
    </w:p>
    <w:p w14:paraId="0EA8B74B" w14:textId="77777777" w:rsidR="005F6ABD" w:rsidRDefault="00000000">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Checked; no conflicts of interest were declared</w:t>
      </w:r>
    </w:p>
    <w:p w14:paraId="798C7C5A" w14:textId="77777777" w:rsidR="005F6ABD" w:rsidRDefault="00000000">
      <w:pPr>
        <w:rPr>
          <w:rFonts w:ascii="Calibri" w:eastAsia="Calibri" w:hAnsi="Calibri" w:cs="Calibri"/>
          <w:sz w:val="24"/>
          <w:szCs w:val="24"/>
        </w:rPr>
      </w:pPr>
      <w:r>
        <w:rPr>
          <w:rFonts w:ascii="Calibri" w:eastAsia="Calibri" w:hAnsi="Calibri" w:cs="Calibri"/>
          <w:sz w:val="24"/>
          <w:szCs w:val="24"/>
        </w:rPr>
        <w:t xml:space="preserve"> </w:t>
      </w:r>
    </w:p>
    <w:p w14:paraId="1D8B8D2C" w14:textId="77777777" w:rsidR="005F6ABD" w:rsidRDefault="00000000">
      <w:pPr>
        <w:rPr>
          <w:rFonts w:ascii="Calibri" w:eastAsia="Calibri" w:hAnsi="Calibri" w:cs="Calibri"/>
          <w:b/>
          <w:color w:val="0563C1"/>
          <w:sz w:val="28"/>
          <w:szCs w:val="28"/>
        </w:rPr>
      </w:pPr>
      <w:r>
        <w:rPr>
          <w:rFonts w:ascii="Calibri" w:eastAsia="Calibri" w:hAnsi="Calibri" w:cs="Calibri"/>
          <w:b/>
          <w:color w:val="0563C1"/>
          <w:sz w:val="28"/>
          <w:szCs w:val="28"/>
        </w:rPr>
        <w:t>NOTES FROM PREVIOUS MEETING</w:t>
      </w:r>
    </w:p>
    <w:p w14:paraId="0DB389DC" w14:textId="77777777" w:rsidR="005F6ABD" w:rsidRDefault="00000000">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Agreed; to be published </w:t>
      </w:r>
    </w:p>
    <w:p w14:paraId="3BBC6B3A" w14:textId="77777777" w:rsidR="005F6ABD" w:rsidRDefault="00000000">
      <w:pPr>
        <w:rPr>
          <w:rFonts w:ascii="Calibri" w:eastAsia="Calibri" w:hAnsi="Calibri" w:cs="Calibri"/>
          <w:sz w:val="24"/>
          <w:szCs w:val="24"/>
          <w:highlight w:val="red"/>
        </w:rPr>
      </w:pPr>
      <w:r>
        <w:rPr>
          <w:rFonts w:ascii="Calibri" w:eastAsia="Calibri" w:hAnsi="Calibri" w:cs="Calibri"/>
          <w:sz w:val="24"/>
          <w:szCs w:val="24"/>
          <w:highlight w:val="red"/>
        </w:rPr>
        <w:t xml:space="preserve"> </w:t>
      </w:r>
    </w:p>
    <w:p w14:paraId="466A73A6" w14:textId="77777777" w:rsidR="005F6ABD" w:rsidRDefault="00000000">
      <w:pPr>
        <w:rPr>
          <w:rFonts w:ascii="Calibri" w:eastAsia="Calibri" w:hAnsi="Calibri" w:cs="Calibri"/>
          <w:b/>
          <w:color w:val="0563C1"/>
          <w:sz w:val="28"/>
          <w:szCs w:val="28"/>
        </w:rPr>
      </w:pPr>
      <w:r>
        <w:rPr>
          <w:rFonts w:ascii="Calibri" w:eastAsia="Calibri" w:hAnsi="Calibri" w:cs="Calibri"/>
          <w:b/>
          <w:color w:val="0563C1"/>
          <w:sz w:val="28"/>
          <w:szCs w:val="28"/>
        </w:rPr>
        <w:t>UPDATE ON PREVIOUS ACTIONS; developments in yellow</w:t>
      </w:r>
    </w:p>
    <w:p w14:paraId="7CE39080" w14:textId="77777777" w:rsidR="005F6ABD" w:rsidRDefault="00000000">
      <w:pPr>
        <w:rPr>
          <w:rFonts w:ascii="Calibri" w:eastAsia="Calibri" w:hAnsi="Calibri" w:cs="Calibri"/>
          <w:b/>
          <w:color w:val="0563C1"/>
          <w:sz w:val="28"/>
          <w:szCs w:val="28"/>
        </w:rPr>
      </w:pPr>
      <w:r>
        <w:rPr>
          <w:rFonts w:ascii="Calibri" w:eastAsia="Calibri" w:hAnsi="Calibri" w:cs="Calibri"/>
          <w:b/>
          <w:color w:val="0563C1"/>
          <w:sz w:val="28"/>
          <w:szCs w:val="28"/>
        </w:rPr>
        <w:lastRenderedPageBreak/>
        <w:t xml:space="preserve"> </w:t>
      </w:r>
    </w:p>
    <w:p w14:paraId="412B7F9A" w14:textId="77777777" w:rsidR="005F6ABD" w:rsidRDefault="00000000">
      <w:pPr>
        <w:ind w:left="1080" w:hanging="360"/>
        <w:rPr>
          <w:rFonts w:ascii="Calibri" w:eastAsia="Calibri" w:hAnsi="Calibri" w:cs="Calibri"/>
          <w:sz w:val="24"/>
          <w:szCs w:val="24"/>
        </w:rPr>
      </w:pPr>
      <w:r>
        <w:rPr>
          <w:rFonts w:ascii="Calibri" w:eastAsia="Calibri" w:hAnsi="Calibri" w:cs="Calibri"/>
          <w:b/>
          <w:color w:val="0563C1"/>
          <w:sz w:val="28"/>
          <w:szCs w:val="28"/>
        </w:rPr>
        <w:t>1)</w:t>
      </w:r>
      <w:r>
        <w:rPr>
          <w:rFonts w:ascii="Times New Roman" w:eastAsia="Times New Roman" w:hAnsi="Times New Roman" w:cs="Times New Roman"/>
          <w:color w:val="0563C1"/>
          <w:sz w:val="14"/>
          <w:szCs w:val="14"/>
        </w:rPr>
        <w:t xml:space="preserve">    </w:t>
      </w:r>
      <w:r>
        <w:rPr>
          <w:rFonts w:ascii="Calibri" w:eastAsia="Calibri" w:hAnsi="Calibri" w:cs="Calibri"/>
          <w:b/>
          <w:color w:val="0563C1"/>
          <w:sz w:val="28"/>
          <w:szCs w:val="28"/>
        </w:rPr>
        <w:t>The idea of TTF becoming a charity</w:t>
      </w:r>
    </w:p>
    <w:p w14:paraId="3CCB0F96" w14:textId="77777777" w:rsidR="005F6ABD" w:rsidRDefault="00000000">
      <w:pPr>
        <w:spacing w:line="254" w:lineRule="auto"/>
        <w:ind w:left="1080" w:hanging="360"/>
        <w:rPr>
          <w:rFonts w:ascii="Calibri" w:eastAsia="Calibri" w:hAnsi="Calibri" w:cs="Calibri"/>
          <w:sz w:val="24"/>
          <w:szCs w:val="24"/>
          <w:highlight w:val="yellow"/>
        </w:rPr>
      </w:pPr>
      <w:r>
        <w:rPr>
          <w:rFonts w:ascii="Calibri" w:eastAsia="Calibri" w:hAnsi="Calibri" w:cs="Calibri"/>
          <w:sz w:val="24"/>
          <w:szCs w:val="24"/>
          <w:highlight w:val="yellow"/>
        </w:rPr>
        <w:t>●</w:t>
      </w:r>
      <w:r>
        <w:rPr>
          <w:rFonts w:ascii="Times New Roman" w:eastAsia="Times New Roman" w:hAnsi="Times New Roman" w:cs="Times New Roman"/>
          <w:sz w:val="14"/>
          <w:szCs w:val="14"/>
          <w:highlight w:val="yellow"/>
        </w:rPr>
        <w:t xml:space="preserve">      </w:t>
      </w:r>
      <w:r>
        <w:rPr>
          <w:rFonts w:ascii="Calibri" w:eastAsia="Calibri" w:hAnsi="Calibri" w:cs="Calibri"/>
          <w:sz w:val="24"/>
          <w:szCs w:val="24"/>
          <w:highlight w:val="yellow"/>
        </w:rPr>
        <w:t>Application process to be continued</w:t>
      </w:r>
    </w:p>
    <w:p w14:paraId="5521C2C2" w14:textId="77777777" w:rsidR="005F6ABD" w:rsidRDefault="00000000">
      <w:pPr>
        <w:spacing w:line="254" w:lineRule="auto"/>
        <w:ind w:left="720"/>
        <w:rPr>
          <w:rFonts w:ascii="Calibri" w:eastAsia="Calibri" w:hAnsi="Calibri" w:cs="Calibri"/>
          <w:sz w:val="24"/>
          <w:szCs w:val="24"/>
        </w:rPr>
      </w:pPr>
      <w:r>
        <w:rPr>
          <w:rFonts w:ascii="Calibri" w:eastAsia="Calibri" w:hAnsi="Calibri" w:cs="Calibri"/>
          <w:sz w:val="24"/>
          <w:szCs w:val="24"/>
        </w:rPr>
        <w:t xml:space="preserve"> </w:t>
      </w:r>
    </w:p>
    <w:p w14:paraId="0B398171" w14:textId="77777777" w:rsidR="005F6ABD" w:rsidRDefault="00000000">
      <w:pPr>
        <w:spacing w:line="256" w:lineRule="auto"/>
        <w:ind w:left="1080" w:hanging="360"/>
        <w:rPr>
          <w:rFonts w:ascii="Calibri" w:eastAsia="Calibri" w:hAnsi="Calibri" w:cs="Calibri"/>
          <w:b/>
          <w:color w:val="0563C1"/>
          <w:sz w:val="28"/>
          <w:szCs w:val="28"/>
        </w:rPr>
      </w:pPr>
      <w:r>
        <w:rPr>
          <w:rFonts w:ascii="Calibri" w:eastAsia="Calibri" w:hAnsi="Calibri" w:cs="Calibri"/>
          <w:b/>
          <w:color w:val="0563C1"/>
          <w:sz w:val="28"/>
          <w:szCs w:val="28"/>
        </w:rPr>
        <w:t>2)</w:t>
      </w:r>
      <w:r>
        <w:rPr>
          <w:rFonts w:ascii="Times New Roman" w:eastAsia="Times New Roman" w:hAnsi="Times New Roman" w:cs="Times New Roman"/>
          <w:color w:val="0563C1"/>
          <w:sz w:val="14"/>
          <w:szCs w:val="14"/>
        </w:rPr>
        <w:t xml:space="preserve">    </w:t>
      </w:r>
      <w:r>
        <w:rPr>
          <w:rFonts w:ascii="Calibri" w:eastAsia="Calibri" w:hAnsi="Calibri" w:cs="Calibri"/>
          <w:b/>
          <w:color w:val="0563C1"/>
          <w:sz w:val="28"/>
          <w:szCs w:val="28"/>
        </w:rPr>
        <w:t>TTF Ambassadors</w:t>
      </w:r>
    </w:p>
    <w:p w14:paraId="38279448" w14:textId="77777777" w:rsidR="005F6ABD" w:rsidRDefault="00000000">
      <w:pPr>
        <w:spacing w:line="256" w:lineRule="auto"/>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Project to overhaul </w:t>
      </w:r>
      <w:hyperlink r:id="rId8">
        <w:r>
          <w:rPr>
            <w:rFonts w:ascii="Calibri" w:eastAsia="Calibri" w:hAnsi="Calibri" w:cs="Calibri"/>
            <w:color w:val="1155CC"/>
            <w:sz w:val="24"/>
            <w:szCs w:val="24"/>
            <w:u w:val="single"/>
          </w:rPr>
          <w:t>TTF Ambassadors</w:t>
        </w:r>
      </w:hyperlink>
      <w:r>
        <w:rPr>
          <w:rFonts w:ascii="Calibri" w:eastAsia="Calibri" w:hAnsi="Calibri" w:cs="Calibri"/>
          <w:sz w:val="24"/>
          <w:szCs w:val="24"/>
        </w:rPr>
        <w:t xml:space="preserve"> on hold given intention to create new charity entity; to be reactivated thereafter</w:t>
      </w:r>
    </w:p>
    <w:p w14:paraId="61706BE4" w14:textId="77777777" w:rsidR="005F6ABD" w:rsidRDefault="00000000">
      <w:pPr>
        <w:spacing w:line="256" w:lineRule="auto"/>
        <w:ind w:left="1080" w:hanging="360"/>
        <w:rPr>
          <w:rFonts w:ascii="Calibri" w:eastAsia="Calibri" w:hAnsi="Calibri" w:cs="Calibri"/>
          <w:sz w:val="24"/>
          <w:szCs w:val="24"/>
        </w:rPr>
      </w:pPr>
      <w:r>
        <w:rPr>
          <w:rFonts w:ascii="Calibri" w:eastAsia="Calibri" w:hAnsi="Calibri" w:cs="Calibri"/>
          <w:sz w:val="24"/>
          <w:szCs w:val="24"/>
        </w:rPr>
        <w:t xml:space="preserve"> </w:t>
      </w:r>
    </w:p>
    <w:p w14:paraId="30E7EC96" w14:textId="77777777" w:rsidR="005F6ABD" w:rsidRDefault="00000000">
      <w:pPr>
        <w:spacing w:line="256" w:lineRule="auto"/>
        <w:ind w:left="1080" w:hanging="360"/>
        <w:rPr>
          <w:rFonts w:ascii="Calibri" w:eastAsia="Calibri" w:hAnsi="Calibri" w:cs="Calibri"/>
          <w:b/>
          <w:color w:val="0563C1"/>
          <w:sz w:val="28"/>
          <w:szCs w:val="28"/>
          <w:highlight w:val="white"/>
        </w:rPr>
      </w:pPr>
      <w:r>
        <w:rPr>
          <w:rFonts w:ascii="Calibri" w:eastAsia="Calibri" w:hAnsi="Calibri" w:cs="Calibri"/>
          <w:b/>
          <w:color w:val="0563C1"/>
          <w:sz w:val="28"/>
          <w:szCs w:val="28"/>
        </w:rPr>
        <w:t>3)</w:t>
      </w:r>
      <w:r>
        <w:rPr>
          <w:rFonts w:ascii="Times New Roman" w:eastAsia="Times New Roman" w:hAnsi="Times New Roman" w:cs="Times New Roman"/>
          <w:color w:val="0563C1"/>
          <w:sz w:val="14"/>
          <w:szCs w:val="14"/>
        </w:rPr>
        <w:t xml:space="preserve">    </w:t>
      </w:r>
      <w:r>
        <w:rPr>
          <w:rFonts w:ascii="Calibri" w:eastAsia="Calibri" w:hAnsi="Calibri" w:cs="Calibri"/>
          <w:b/>
          <w:color w:val="0563C1"/>
          <w:sz w:val="28"/>
          <w:szCs w:val="28"/>
          <w:highlight w:val="white"/>
        </w:rPr>
        <w:t>What is the Purpose of the Financial Services Sector?</w:t>
      </w:r>
    </w:p>
    <w:p w14:paraId="4C6BF967" w14:textId="77777777" w:rsidR="005F6ABD" w:rsidRDefault="00000000">
      <w:pPr>
        <w:spacing w:line="256" w:lineRule="auto"/>
        <w:ind w:left="1080" w:hanging="360"/>
        <w:rPr>
          <w:rFonts w:ascii="Calibri" w:eastAsia="Calibri" w:hAnsi="Calibri" w:cs="Calibri"/>
          <w:sz w:val="24"/>
          <w:szCs w:val="24"/>
          <w:highlight w:val="white"/>
        </w:rPr>
      </w:pPr>
      <w:r>
        <w:rPr>
          <w:rFonts w:ascii="Calibri" w:eastAsia="Calibri" w:hAnsi="Calibri" w:cs="Calibri"/>
          <w:sz w:val="24"/>
          <w:szCs w:val="24"/>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sz w:val="24"/>
          <w:szCs w:val="24"/>
          <w:highlight w:val="white"/>
        </w:rPr>
        <w:t>This is, in many ways the ‘primary question’ and is a topic we will return to when bandwidth allows</w:t>
      </w:r>
    </w:p>
    <w:p w14:paraId="654BC61F" w14:textId="77777777" w:rsidR="005F6ABD" w:rsidRDefault="005F6ABD">
      <w:pPr>
        <w:spacing w:line="256" w:lineRule="auto"/>
        <w:ind w:left="1080" w:hanging="360"/>
        <w:rPr>
          <w:rFonts w:ascii="Calibri" w:eastAsia="Calibri" w:hAnsi="Calibri" w:cs="Calibri"/>
          <w:sz w:val="24"/>
          <w:szCs w:val="24"/>
          <w:highlight w:val="white"/>
        </w:rPr>
      </w:pPr>
    </w:p>
    <w:p w14:paraId="26FC8E12" w14:textId="77777777" w:rsidR="005F6ABD" w:rsidRDefault="00000000">
      <w:pPr>
        <w:jc w:val="center"/>
        <w:rPr>
          <w:rFonts w:ascii="Calibri" w:eastAsia="Calibri" w:hAnsi="Calibri" w:cs="Calibri"/>
          <w:b/>
          <w:color w:val="0563C1"/>
          <w:sz w:val="32"/>
          <w:szCs w:val="32"/>
        </w:rPr>
      </w:pPr>
      <w:r>
        <w:rPr>
          <w:rFonts w:ascii="Calibri" w:eastAsia="Calibri" w:hAnsi="Calibri" w:cs="Calibri"/>
          <w:b/>
          <w:color w:val="0563C1"/>
          <w:sz w:val="32"/>
          <w:szCs w:val="32"/>
        </w:rPr>
        <w:t>KEY TALKING POINTS IN TODAY’S MEETING</w:t>
      </w:r>
    </w:p>
    <w:p w14:paraId="41E31737" w14:textId="77777777" w:rsidR="005F6ABD" w:rsidRDefault="00000000">
      <w:pPr>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3FFE682E" w14:textId="77777777" w:rsidR="005F6ABD" w:rsidRDefault="00000000">
      <w:pPr>
        <w:rPr>
          <w:rFonts w:ascii="Calibri" w:eastAsia="Calibri" w:hAnsi="Calibri" w:cs="Calibri"/>
          <w:sz w:val="24"/>
          <w:szCs w:val="24"/>
          <w:highlight w:val="yellow"/>
        </w:rPr>
      </w:pPr>
      <w:r>
        <w:rPr>
          <w:rFonts w:ascii="Calibri" w:eastAsia="Calibri" w:hAnsi="Calibri" w:cs="Calibri"/>
          <w:sz w:val="24"/>
          <w:szCs w:val="24"/>
          <w:highlight w:val="white"/>
        </w:rPr>
        <w:t xml:space="preserve">Note: areas requiring action are highlighted in </w:t>
      </w:r>
      <w:r>
        <w:rPr>
          <w:rFonts w:ascii="Calibri" w:eastAsia="Calibri" w:hAnsi="Calibri" w:cs="Calibri"/>
          <w:sz w:val="24"/>
          <w:szCs w:val="24"/>
          <w:highlight w:val="yellow"/>
        </w:rPr>
        <w:t>yellow.</w:t>
      </w:r>
    </w:p>
    <w:p w14:paraId="1DEF8654" w14:textId="77777777" w:rsidR="005F6ABD" w:rsidRDefault="005F6ABD">
      <w:pPr>
        <w:rPr>
          <w:rFonts w:ascii="Calibri" w:eastAsia="Calibri" w:hAnsi="Calibri" w:cs="Calibri"/>
          <w:sz w:val="24"/>
          <w:szCs w:val="24"/>
          <w:highlight w:val="yellow"/>
        </w:rPr>
      </w:pPr>
    </w:p>
    <w:p w14:paraId="09010149" w14:textId="77777777" w:rsidR="005F6ABD" w:rsidRDefault="00000000">
      <w:pPr>
        <w:numPr>
          <w:ilvl w:val="0"/>
          <w:numId w:val="4"/>
        </w:numPr>
        <w:spacing w:line="256" w:lineRule="auto"/>
        <w:rPr>
          <w:rFonts w:ascii="Calibri" w:eastAsia="Calibri" w:hAnsi="Calibri" w:cs="Calibri"/>
          <w:b/>
          <w:color w:val="0563C1"/>
          <w:sz w:val="28"/>
          <w:szCs w:val="28"/>
          <w:highlight w:val="white"/>
        </w:rPr>
      </w:pPr>
      <w:r>
        <w:rPr>
          <w:rFonts w:ascii="Calibri" w:eastAsia="Calibri" w:hAnsi="Calibri" w:cs="Calibri"/>
          <w:b/>
          <w:color w:val="0563C1"/>
          <w:sz w:val="28"/>
          <w:szCs w:val="28"/>
          <w:highlight w:val="white"/>
        </w:rPr>
        <w:t>Steve Conley</w:t>
      </w:r>
    </w:p>
    <w:p w14:paraId="069B0CEA" w14:textId="77777777" w:rsidR="005F6ABD" w:rsidRDefault="005F6ABD">
      <w:pPr>
        <w:spacing w:line="256" w:lineRule="auto"/>
        <w:rPr>
          <w:rFonts w:ascii="Calibri" w:eastAsia="Calibri" w:hAnsi="Calibri" w:cs="Calibri"/>
          <w:b/>
          <w:color w:val="0563C1"/>
          <w:sz w:val="28"/>
          <w:szCs w:val="28"/>
          <w:highlight w:val="white"/>
        </w:rPr>
      </w:pPr>
    </w:p>
    <w:p w14:paraId="054B13C0"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Welcomed as a new member</w:t>
      </w:r>
    </w:p>
    <w:p w14:paraId="2C415CB5"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Extensive relevant experience from time in the sector, and since</w:t>
      </w:r>
    </w:p>
    <w:p w14:paraId="628E48D2" w14:textId="77777777" w:rsidR="005F6ABD" w:rsidRDefault="005F6ABD">
      <w:pPr>
        <w:spacing w:line="256" w:lineRule="auto"/>
        <w:rPr>
          <w:rFonts w:ascii="Calibri" w:eastAsia="Calibri" w:hAnsi="Calibri" w:cs="Calibri"/>
          <w:sz w:val="24"/>
          <w:szCs w:val="24"/>
        </w:rPr>
      </w:pPr>
    </w:p>
    <w:p w14:paraId="078C7B8E" w14:textId="77777777" w:rsidR="005F6ABD" w:rsidRDefault="00000000">
      <w:pPr>
        <w:numPr>
          <w:ilvl w:val="0"/>
          <w:numId w:val="4"/>
        </w:numPr>
        <w:spacing w:line="256" w:lineRule="auto"/>
        <w:rPr>
          <w:rFonts w:ascii="Calibri" w:eastAsia="Calibri" w:hAnsi="Calibri" w:cs="Calibri"/>
          <w:b/>
          <w:color w:val="0563C1"/>
          <w:sz w:val="28"/>
          <w:szCs w:val="28"/>
          <w:highlight w:val="white"/>
        </w:rPr>
      </w:pPr>
      <w:r>
        <w:rPr>
          <w:rFonts w:ascii="Calibri" w:eastAsia="Calibri" w:hAnsi="Calibri" w:cs="Calibri"/>
          <w:b/>
          <w:color w:val="0563C1"/>
          <w:sz w:val="28"/>
          <w:szCs w:val="28"/>
          <w:highlight w:val="white"/>
        </w:rPr>
        <w:t>Intention for TTF to become a charity</w:t>
      </w:r>
    </w:p>
    <w:p w14:paraId="336CB334" w14:textId="77777777" w:rsidR="005F6ABD" w:rsidRDefault="005F6ABD">
      <w:pPr>
        <w:spacing w:line="256" w:lineRule="auto"/>
        <w:rPr>
          <w:rFonts w:ascii="Calibri" w:eastAsia="Calibri" w:hAnsi="Calibri" w:cs="Calibri"/>
          <w:b/>
          <w:color w:val="0563C1"/>
          <w:sz w:val="28"/>
          <w:szCs w:val="28"/>
          <w:highlight w:val="white"/>
        </w:rPr>
      </w:pPr>
    </w:p>
    <w:p w14:paraId="6C23A9B4"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Application process being continued</w:t>
      </w:r>
    </w:p>
    <w:p w14:paraId="2F325A19"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‘Charitable Incorporation Organisation Foundation Model’ being pursued</w:t>
      </w:r>
    </w:p>
    <w:p w14:paraId="39B746BA"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The need and importance of transparency needs to continue to be promoted to the public if/when the charity is established</w:t>
      </w:r>
    </w:p>
    <w:p w14:paraId="472118A6" w14:textId="77777777" w:rsidR="005F6ABD" w:rsidRDefault="005F6ABD">
      <w:pPr>
        <w:spacing w:line="256" w:lineRule="auto"/>
        <w:rPr>
          <w:rFonts w:ascii="Calibri" w:eastAsia="Calibri" w:hAnsi="Calibri" w:cs="Calibri"/>
          <w:sz w:val="24"/>
          <w:szCs w:val="24"/>
        </w:rPr>
      </w:pPr>
    </w:p>
    <w:p w14:paraId="5BBB724B" w14:textId="77777777" w:rsidR="005F6ABD" w:rsidRDefault="00000000">
      <w:pPr>
        <w:numPr>
          <w:ilvl w:val="0"/>
          <w:numId w:val="4"/>
        </w:numPr>
        <w:spacing w:line="256" w:lineRule="auto"/>
        <w:rPr>
          <w:rFonts w:ascii="Calibri" w:eastAsia="Calibri" w:hAnsi="Calibri" w:cs="Calibri"/>
          <w:b/>
          <w:color w:val="0563C1"/>
          <w:sz w:val="28"/>
          <w:szCs w:val="28"/>
          <w:highlight w:val="white"/>
        </w:rPr>
      </w:pPr>
      <w:r>
        <w:rPr>
          <w:rFonts w:ascii="Calibri" w:eastAsia="Calibri" w:hAnsi="Calibri" w:cs="Calibri"/>
          <w:b/>
          <w:color w:val="0563C1"/>
          <w:sz w:val="28"/>
          <w:szCs w:val="28"/>
          <w:highlight w:val="white"/>
        </w:rPr>
        <w:t>The Mansion House Speech</w:t>
      </w:r>
    </w:p>
    <w:p w14:paraId="411C86DB" w14:textId="77777777" w:rsidR="005F6ABD" w:rsidRDefault="005F6ABD">
      <w:pPr>
        <w:spacing w:line="256" w:lineRule="auto"/>
        <w:rPr>
          <w:rFonts w:ascii="Calibri" w:eastAsia="Calibri" w:hAnsi="Calibri" w:cs="Calibri"/>
          <w:b/>
          <w:color w:val="0563C1"/>
          <w:sz w:val="28"/>
          <w:szCs w:val="28"/>
          <w:highlight w:val="white"/>
        </w:rPr>
      </w:pPr>
    </w:p>
    <w:p w14:paraId="7E6E50B4"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The reforms announced at the Mansion House speech, plus The Leeds reforms and the announcements on the same day by the FCA, PRA and FOS all amount to a deregulatory agenda that increases jeopardy for consumers</w:t>
      </w:r>
    </w:p>
    <w:p w14:paraId="691AFEBA"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 xml:space="preserve">The driving force for deregulation is the Government’s growth/competitiveness agenda </w:t>
      </w:r>
    </w:p>
    <w:p w14:paraId="4BAB10CB"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TTF will continue to oppose regulatory reforms that may be harmful to consumers and the reputational integrity of the sector</w:t>
      </w:r>
    </w:p>
    <w:p w14:paraId="7CB012CF" w14:textId="77777777" w:rsidR="005F6ABD" w:rsidRDefault="005F6ABD">
      <w:pPr>
        <w:spacing w:line="256" w:lineRule="auto"/>
        <w:rPr>
          <w:rFonts w:ascii="Calibri" w:eastAsia="Calibri" w:hAnsi="Calibri" w:cs="Calibri"/>
          <w:sz w:val="24"/>
          <w:szCs w:val="24"/>
        </w:rPr>
      </w:pPr>
    </w:p>
    <w:p w14:paraId="09CE91F4" w14:textId="77777777" w:rsidR="005F6ABD" w:rsidRDefault="00000000">
      <w:pPr>
        <w:numPr>
          <w:ilvl w:val="0"/>
          <w:numId w:val="4"/>
        </w:numPr>
        <w:spacing w:line="256" w:lineRule="auto"/>
        <w:rPr>
          <w:rFonts w:ascii="Calibri" w:eastAsia="Calibri" w:hAnsi="Calibri" w:cs="Calibri"/>
          <w:b/>
          <w:color w:val="0563C1"/>
          <w:sz w:val="28"/>
          <w:szCs w:val="28"/>
          <w:highlight w:val="white"/>
        </w:rPr>
      </w:pPr>
      <w:r>
        <w:rPr>
          <w:rFonts w:ascii="Calibri" w:eastAsia="Calibri" w:hAnsi="Calibri" w:cs="Calibri"/>
          <w:b/>
          <w:color w:val="0563C1"/>
          <w:sz w:val="28"/>
          <w:szCs w:val="28"/>
          <w:highlight w:val="white"/>
        </w:rPr>
        <w:t>The Car Finance Scandal</w:t>
      </w:r>
    </w:p>
    <w:p w14:paraId="54C1EFC4" w14:textId="77777777" w:rsidR="005F6ABD" w:rsidRDefault="005F6ABD">
      <w:pPr>
        <w:spacing w:line="256" w:lineRule="auto"/>
        <w:rPr>
          <w:rFonts w:ascii="Calibri" w:eastAsia="Calibri" w:hAnsi="Calibri" w:cs="Calibri"/>
          <w:b/>
          <w:color w:val="0563C1"/>
          <w:sz w:val="28"/>
          <w:szCs w:val="28"/>
          <w:highlight w:val="white"/>
        </w:rPr>
      </w:pPr>
    </w:p>
    <w:p w14:paraId="2F181FE6"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lastRenderedPageBreak/>
        <w:t>TTF running events to expose the catastrophic regulatory failure dimension to the scandal that meant the malpractice continued for many years more than it ought</w:t>
      </w:r>
    </w:p>
    <w:p w14:paraId="4B8C9165"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Perhaps the root cause of the FCA’s failings in general terms is the brief it has been given by Parliament is fundamentally conflicted i.e. it is unable to focus just on consumer protection</w:t>
      </w:r>
    </w:p>
    <w:p w14:paraId="6AB2BD89" w14:textId="77777777" w:rsidR="005F6ABD" w:rsidRDefault="005F6ABD">
      <w:pPr>
        <w:spacing w:line="256" w:lineRule="auto"/>
        <w:rPr>
          <w:rFonts w:ascii="Calibri" w:eastAsia="Calibri" w:hAnsi="Calibri" w:cs="Calibri"/>
          <w:sz w:val="24"/>
          <w:szCs w:val="24"/>
        </w:rPr>
      </w:pPr>
    </w:p>
    <w:p w14:paraId="661E158C" w14:textId="77777777" w:rsidR="005F6ABD" w:rsidRDefault="005F6ABD">
      <w:pPr>
        <w:spacing w:line="256" w:lineRule="auto"/>
        <w:rPr>
          <w:rFonts w:ascii="Calibri" w:eastAsia="Calibri" w:hAnsi="Calibri" w:cs="Calibri"/>
          <w:sz w:val="24"/>
          <w:szCs w:val="24"/>
        </w:rPr>
      </w:pPr>
    </w:p>
    <w:p w14:paraId="2B2D8177" w14:textId="77777777" w:rsidR="005F6ABD" w:rsidRDefault="00000000">
      <w:pPr>
        <w:numPr>
          <w:ilvl w:val="0"/>
          <w:numId w:val="4"/>
        </w:numPr>
        <w:spacing w:line="256" w:lineRule="auto"/>
        <w:rPr>
          <w:rFonts w:ascii="Calibri" w:eastAsia="Calibri" w:hAnsi="Calibri" w:cs="Calibri"/>
          <w:b/>
          <w:color w:val="0563C1"/>
          <w:sz w:val="28"/>
          <w:szCs w:val="28"/>
          <w:highlight w:val="white"/>
        </w:rPr>
      </w:pPr>
      <w:r>
        <w:rPr>
          <w:rFonts w:ascii="Calibri" w:eastAsia="Calibri" w:hAnsi="Calibri" w:cs="Calibri"/>
          <w:b/>
          <w:color w:val="0563C1"/>
          <w:sz w:val="28"/>
          <w:szCs w:val="28"/>
          <w:highlight w:val="white"/>
        </w:rPr>
        <w:t>The Financial Ombudsman Service</w:t>
      </w:r>
    </w:p>
    <w:p w14:paraId="0BCC7166" w14:textId="77777777" w:rsidR="005F6ABD" w:rsidRDefault="005F6ABD">
      <w:pPr>
        <w:spacing w:line="256" w:lineRule="auto"/>
        <w:rPr>
          <w:rFonts w:ascii="Calibri" w:eastAsia="Calibri" w:hAnsi="Calibri" w:cs="Calibri"/>
          <w:b/>
          <w:color w:val="0563C1"/>
          <w:sz w:val="28"/>
          <w:szCs w:val="28"/>
          <w:highlight w:val="white"/>
        </w:rPr>
      </w:pPr>
    </w:p>
    <w:p w14:paraId="3D270E40"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General concerns about its lack of independence from the FCA</w:t>
      </w:r>
    </w:p>
    <w:p w14:paraId="1E5A8FEF"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Lack of regulatory intervention and enforcement by the FCA is a factor, as it leads to cases that need to be resolved</w:t>
      </w:r>
    </w:p>
    <w:p w14:paraId="13507FC5"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Huge jump in the number of cases the FOS is handling; from 200,000 to 300,000 in a year</w:t>
      </w:r>
    </w:p>
    <w:p w14:paraId="12426809"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It was only circa 20,000 when it was started</w:t>
      </w:r>
    </w:p>
    <w:p w14:paraId="189DCEFB"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Industry is pushing back at what it sees as the FOS’ ‘quasi regulator’ status - wants its powers to be reduced; in particular wants it to not be able to use ‘reasonable and fair’ as its basis to resolve cases, and to be able to appeal a FOS decision to the FCA</w:t>
      </w:r>
    </w:p>
    <w:p w14:paraId="791A1F03"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 xml:space="preserve">It is felt that HM Treasury doesn’t understand the likely impact of changing the FOS’ powers; </w:t>
      </w:r>
      <w:hyperlink r:id="rId9">
        <w:r>
          <w:rPr>
            <w:rFonts w:ascii="Calibri" w:eastAsia="Calibri" w:hAnsi="Calibri" w:cs="Calibri"/>
            <w:color w:val="1155CC"/>
            <w:sz w:val="24"/>
            <w:szCs w:val="24"/>
            <w:u w:val="single"/>
          </w:rPr>
          <w:t>Open Letter to Chancellor by several organisations</w:t>
        </w:r>
      </w:hyperlink>
      <w:r>
        <w:rPr>
          <w:rFonts w:ascii="Calibri" w:eastAsia="Calibri" w:hAnsi="Calibri" w:cs="Calibri"/>
          <w:sz w:val="24"/>
          <w:szCs w:val="24"/>
        </w:rPr>
        <w:t xml:space="preserve"> covers these issues very well</w:t>
      </w:r>
    </w:p>
    <w:p w14:paraId="7A24C041"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Concerns also expressed that elements of the Consumer Credit Act may be brought within the FCA’s remit, jeopardizing consumer protections</w:t>
      </w:r>
    </w:p>
    <w:p w14:paraId="6EF07BB7" w14:textId="77777777" w:rsidR="005F6ABD" w:rsidRDefault="005F6ABD">
      <w:pPr>
        <w:rPr>
          <w:rFonts w:ascii="Calibri" w:eastAsia="Calibri" w:hAnsi="Calibri" w:cs="Calibri"/>
          <w:sz w:val="24"/>
          <w:szCs w:val="24"/>
        </w:rPr>
      </w:pPr>
    </w:p>
    <w:p w14:paraId="1AC7104C" w14:textId="77777777" w:rsidR="005F6ABD" w:rsidRDefault="00000000">
      <w:pPr>
        <w:numPr>
          <w:ilvl w:val="0"/>
          <w:numId w:val="4"/>
        </w:numPr>
        <w:spacing w:line="256" w:lineRule="auto"/>
        <w:rPr>
          <w:rFonts w:ascii="Calibri" w:eastAsia="Calibri" w:hAnsi="Calibri" w:cs="Calibri"/>
          <w:b/>
          <w:color w:val="0563C1"/>
          <w:sz w:val="28"/>
          <w:szCs w:val="28"/>
          <w:highlight w:val="white"/>
        </w:rPr>
      </w:pPr>
      <w:r>
        <w:rPr>
          <w:rFonts w:ascii="Calibri" w:eastAsia="Calibri" w:hAnsi="Calibri" w:cs="Calibri"/>
          <w:b/>
          <w:color w:val="0563C1"/>
          <w:sz w:val="28"/>
          <w:szCs w:val="28"/>
          <w:highlight w:val="white"/>
        </w:rPr>
        <w:t>Summit on protecting consumer protections</w:t>
      </w:r>
    </w:p>
    <w:p w14:paraId="61C8EDFA" w14:textId="77777777" w:rsidR="005F6ABD" w:rsidRDefault="005F6ABD">
      <w:pPr>
        <w:spacing w:line="256" w:lineRule="auto"/>
        <w:rPr>
          <w:rFonts w:ascii="Calibri" w:eastAsia="Calibri" w:hAnsi="Calibri" w:cs="Calibri"/>
          <w:b/>
          <w:color w:val="0563C1"/>
          <w:sz w:val="28"/>
          <w:szCs w:val="28"/>
          <w:highlight w:val="white"/>
        </w:rPr>
      </w:pPr>
    </w:p>
    <w:p w14:paraId="745E7CC3"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Being organised</w:t>
      </w:r>
    </w:p>
    <w:p w14:paraId="67E54916" w14:textId="77777777" w:rsidR="005F6ABD" w:rsidRDefault="005F6ABD">
      <w:pPr>
        <w:rPr>
          <w:rFonts w:ascii="Calibri" w:eastAsia="Calibri" w:hAnsi="Calibri" w:cs="Calibri"/>
          <w:sz w:val="24"/>
          <w:szCs w:val="24"/>
        </w:rPr>
      </w:pPr>
    </w:p>
    <w:p w14:paraId="6231C1C2" w14:textId="77777777" w:rsidR="005F6ABD" w:rsidRDefault="00000000">
      <w:pPr>
        <w:numPr>
          <w:ilvl w:val="0"/>
          <w:numId w:val="4"/>
        </w:numPr>
        <w:spacing w:line="256" w:lineRule="auto"/>
        <w:rPr>
          <w:rFonts w:ascii="Calibri" w:eastAsia="Calibri" w:hAnsi="Calibri" w:cs="Calibri"/>
          <w:b/>
          <w:color w:val="0563C1"/>
          <w:sz w:val="28"/>
          <w:szCs w:val="28"/>
          <w:highlight w:val="white"/>
        </w:rPr>
      </w:pPr>
      <w:r>
        <w:rPr>
          <w:rFonts w:ascii="Calibri" w:eastAsia="Calibri" w:hAnsi="Calibri" w:cs="Calibri"/>
          <w:b/>
          <w:color w:val="0563C1"/>
          <w:sz w:val="28"/>
          <w:szCs w:val="28"/>
          <w:highlight w:val="white"/>
        </w:rPr>
        <w:t>The Treasury Committee</w:t>
      </w:r>
    </w:p>
    <w:p w14:paraId="29E3177B" w14:textId="77777777" w:rsidR="005F6ABD" w:rsidRDefault="005F6ABD">
      <w:pPr>
        <w:spacing w:line="256" w:lineRule="auto"/>
        <w:ind w:left="720"/>
        <w:rPr>
          <w:rFonts w:ascii="Calibri" w:eastAsia="Calibri" w:hAnsi="Calibri" w:cs="Calibri"/>
          <w:b/>
          <w:color w:val="0563C1"/>
          <w:sz w:val="28"/>
          <w:szCs w:val="28"/>
          <w:highlight w:val="white"/>
        </w:rPr>
      </w:pPr>
    </w:p>
    <w:p w14:paraId="080881A9"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Is it pro consumer or pro City?</w:t>
      </w:r>
    </w:p>
    <w:p w14:paraId="4962D7CE" w14:textId="77777777" w:rsidR="005F6ABD" w:rsidRDefault="00000000">
      <w:pPr>
        <w:numPr>
          <w:ilvl w:val="0"/>
          <w:numId w:val="1"/>
        </w:numPr>
        <w:spacing w:line="256" w:lineRule="auto"/>
        <w:rPr>
          <w:rFonts w:ascii="Calibri" w:eastAsia="Calibri" w:hAnsi="Calibri" w:cs="Calibri"/>
          <w:sz w:val="24"/>
          <w:szCs w:val="24"/>
        </w:rPr>
      </w:pPr>
      <w:r>
        <w:rPr>
          <w:rFonts w:ascii="Calibri" w:eastAsia="Calibri" w:hAnsi="Calibri" w:cs="Calibri"/>
          <w:sz w:val="24"/>
          <w:szCs w:val="24"/>
        </w:rPr>
        <w:t>Some expressions of confidence in its Chair Meg Hillier MP were shared</w:t>
      </w:r>
    </w:p>
    <w:p w14:paraId="6FFDE881" w14:textId="77777777" w:rsidR="005F6ABD" w:rsidRDefault="005F6ABD">
      <w:pPr>
        <w:rPr>
          <w:rFonts w:ascii="Calibri" w:eastAsia="Calibri" w:hAnsi="Calibri" w:cs="Calibri"/>
          <w:sz w:val="24"/>
          <w:szCs w:val="24"/>
        </w:rPr>
      </w:pPr>
    </w:p>
    <w:p w14:paraId="7ACD8190" w14:textId="77777777" w:rsidR="005F6ABD" w:rsidRDefault="00000000">
      <w:pPr>
        <w:numPr>
          <w:ilvl w:val="0"/>
          <w:numId w:val="4"/>
        </w:numPr>
        <w:spacing w:line="256" w:lineRule="auto"/>
        <w:rPr>
          <w:rFonts w:ascii="Calibri" w:eastAsia="Calibri" w:hAnsi="Calibri" w:cs="Calibri"/>
          <w:b/>
          <w:color w:val="0563C1"/>
          <w:sz w:val="28"/>
          <w:szCs w:val="28"/>
          <w:highlight w:val="white"/>
        </w:rPr>
      </w:pPr>
      <w:r>
        <w:rPr>
          <w:rFonts w:ascii="Calibri" w:eastAsia="Calibri" w:hAnsi="Calibri" w:cs="Calibri"/>
          <w:b/>
          <w:color w:val="0563C1"/>
          <w:sz w:val="28"/>
          <w:szCs w:val="28"/>
          <w:highlight w:val="white"/>
        </w:rPr>
        <w:t>Evolving TTF’s ‘Theory for Driving Change’</w:t>
      </w:r>
    </w:p>
    <w:p w14:paraId="38F07650" w14:textId="77777777" w:rsidR="005F6ABD" w:rsidRDefault="005F6ABD">
      <w:pPr>
        <w:spacing w:line="256" w:lineRule="auto"/>
        <w:ind w:left="720"/>
        <w:rPr>
          <w:rFonts w:ascii="Calibri" w:eastAsia="Calibri" w:hAnsi="Calibri" w:cs="Calibri"/>
          <w:b/>
          <w:color w:val="0563C1"/>
          <w:sz w:val="28"/>
          <w:szCs w:val="28"/>
          <w:highlight w:val="white"/>
        </w:rPr>
      </w:pPr>
    </w:p>
    <w:p w14:paraId="7BF79E6B" w14:textId="77777777" w:rsidR="005F6ABD" w:rsidRDefault="00000000">
      <w:pPr>
        <w:numPr>
          <w:ilvl w:val="0"/>
          <w:numId w:val="1"/>
        </w:numPr>
        <w:rPr>
          <w:rFonts w:ascii="Calibri" w:eastAsia="Calibri" w:hAnsi="Calibri" w:cs="Calibri"/>
          <w:sz w:val="24"/>
          <w:szCs w:val="24"/>
        </w:rPr>
      </w:pPr>
      <w:r>
        <w:rPr>
          <w:rFonts w:ascii="Calibri" w:eastAsia="Calibri" w:hAnsi="Calibri" w:cs="Calibri"/>
          <w:sz w:val="24"/>
          <w:szCs w:val="24"/>
        </w:rPr>
        <w:t>Discussion follows a recent email circulated by AA after our ‘10 year anniversary’ event; here’s the key part:</w:t>
      </w:r>
    </w:p>
    <w:p w14:paraId="65857A63" w14:textId="77777777" w:rsidR="005F6ABD" w:rsidRDefault="005F6ABD">
      <w:pPr>
        <w:ind w:left="720"/>
        <w:rPr>
          <w:rFonts w:ascii="Calibri" w:eastAsia="Calibri" w:hAnsi="Calibri" w:cs="Calibri"/>
          <w:sz w:val="24"/>
          <w:szCs w:val="24"/>
        </w:rPr>
      </w:pPr>
    </w:p>
    <w:p w14:paraId="4CB50A32" w14:textId="77777777" w:rsidR="005F6ABD" w:rsidRDefault="00000000">
      <w:pPr>
        <w:ind w:left="720"/>
        <w:rPr>
          <w:rFonts w:ascii="Calibri" w:eastAsia="Calibri" w:hAnsi="Calibri" w:cs="Calibri"/>
          <w:i/>
          <w:sz w:val="24"/>
          <w:szCs w:val="24"/>
        </w:rPr>
      </w:pPr>
      <w:r>
        <w:rPr>
          <w:rFonts w:ascii="Calibri" w:eastAsia="Calibri" w:hAnsi="Calibri" w:cs="Calibri"/>
          <w:i/>
          <w:sz w:val="24"/>
          <w:szCs w:val="24"/>
        </w:rPr>
        <w:t>“In broad terms, one of the underlying themes in these conversations has been the idea of TTF becoming more focused. I’ve been giving a lot of thought to that, and my thoughts have landed on the idea of tweaking our ‘Strategy for Driving Change’ – or what ………referred to recently as our ‘Theory of Change.’</w:t>
      </w:r>
    </w:p>
    <w:p w14:paraId="5854FF06" w14:textId="77777777" w:rsidR="005F6ABD" w:rsidRDefault="00000000">
      <w:pPr>
        <w:ind w:left="720"/>
        <w:rPr>
          <w:rFonts w:ascii="Calibri" w:eastAsia="Calibri" w:hAnsi="Calibri" w:cs="Calibri"/>
          <w:i/>
          <w:sz w:val="24"/>
          <w:szCs w:val="24"/>
        </w:rPr>
      </w:pPr>
      <w:r>
        <w:rPr>
          <w:rFonts w:ascii="Calibri" w:eastAsia="Calibri" w:hAnsi="Calibri" w:cs="Calibri"/>
          <w:i/>
          <w:sz w:val="24"/>
          <w:szCs w:val="24"/>
        </w:rPr>
        <w:lastRenderedPageBreak/>
        <w:t>I’ve put a discussion paper together about this, and I’d welcome any comments, questions and constructive challenges you may have.</w:t>
      </w:r>
    </w:p>
    <w:p w14:paraId="4FC8615F" w14:textId="77777777" w:rsidR="005F6ABD" w:rsidRDefault="005F6ABD">
      <w:pPr>
        <w:ind w:left="720"/>
        <w:rPr>
          <w:rFonts w:ascii="Calibri" w:eastAsia="Calibri" w:hAnsi="Calibri" w:cs="Calibri"/>
          <w:i/>
          <w:sz w:val="24"/>
          <w:szCs w:val="24"/>
        </w:rPr>
      </w:pPr>
    </w:p>
    <w:p w14:paraId="554C4B55" w14:textId="77777777" w:rsidR="005F6ABD" w:rsidRDefault="00000000">
      <w:pPr>
        <w:ind w:left="720"/>
        <w:rPr>
          <w:rFonts w:ascii="Calibri" w:eastAsia="Calibri" w:hAnsi="Calibri" w:cs="Calibri"/>
          <w:i/>
          <w:sz w:val="24"/>
          <w:szCs w:val="24"/>
        </w:rPr>
      </w:pPr>
      <w:r>
        <w:rPr>
          <w:rFonts w:ascii="Calibri" w:eastAsia="Calibri" w:hAnsi="Calibri" w:cs="Calibri"/>
          <w:i/>
          <w:sz w:val="24"/>
          <w:szCs w:val="24"/>
        </w:rPr>
        <w:t>In short, I’m keen to pick your brains please to help make a decision about what to do, if anything, about our Strategy for Driving Change, which of course has a dominant influence on our strategy overall.”</w:t>
      </w:r>
    </w:p>
    <w:p w14:paraId="6AF2E334" w14:textId="77777777" w:rsidR="005F6ABD" w:rsidRDefault="005F6ABD">
      <w:pPr>
        <w:ind w:left="720"/>
        <w:rPr>
          <w:rFonts w:ascii="Calibri" w:eastAsia="Calibri" w:hAnsi="Calibri" w:cs="Calibri"/>
          <w:i/>
          <w:sz w:val="24"/>
          <w:szCs w:val="24"/>
        </w:rPr>
      </w:pPr>
    </w:p>
    <w:p w14:paraId="03032E3E" w14:textId="77777777" w:rsidR="005F6ABD" w:rsidRDefault="00000000">
      <w:pPr>
        <w:ind w:left="720"/>
        <w:rPr>
          <w:rFonts w:ascii="Calibri" w:eastAsia="Calibri" w:hAnsi="Calibri" w:cs="Calibri"/>
          <w:i/>
          <w:sz w:val="24"/>
          <w:szCs w:val="24"/>
        </w:rPr>
      </w:pPr>
      <w:r>
        <w:rPr>
          <w:rFonts w:ascii="Calibri" w:eastAsia="Calibri" w:hAnsi="Calibri" w:cs="Calibri"/>
          <w:i/>
          <w:sz w:val="24"/>
          <w:szCs w:val="24"/>
        </w:rPr>
        <w:t>AA explained why he is minded to add the words ‘and predisposition’ to TTF’s Strategy for Driving Change such that it is would now be:</w:t>
      </w:r>
    </w:p>
    <w:p w14:paraId="2C11A6D0" w14:textId="77777777" w:rsidR="005F6ABD" w:rsidRDefault="005F6ABD">
      <w:pPr>
        <w:ind w:left="720"/>
        <w:rPr>
          <w:rFonts w:ascii="Calibri" w:eastAsia="Calibri" w:hAnsi="Calibri" w:cs="Calibri"/>
          <w:i/>
          <w:sz w:val="24"/>
          <w:szCs w:val="24"/>
        </w:rPr>
      </w:pPr>
    </w:p>
    <w:p w14:paraId="3C394C70" w14:textId="77777777" w:rsidR="005F6ABD" w:rsidRDefault="00000000">
      <w:pPr>
        <w:ind w:left="720"/>
        <w:rPr>
          <w:rFonts w:ascii="Calibri" w:eastAsia="Calibri" w:hAnsi="Calibri" w:cs="Calibri"/>
          <w:i/>
          <w:sz w:val="24"/>
          <w:szCs w:val="24"/>
        </w:rPr>
      </w:pPr>
      <w:r>
        <w:rPr>
          <w:rFonts w:ascii="Calibri" w:eastAsia="Calibri" w:hAnsi="Calibri" w:cs="Calibri"/>
          <w:b/>
          <w:i/>
          <w:color w:val="1155CC"/>
          <w:sz w:val="24"/>
          <w:szCs w:val="24"/>
        </w:rPr>
        <w:t xml:space="preserve">“To bring together the thinking of those with a sense of ‘passion &amp; purpose’ for the change we want to see; with those who have the ‘power, position </w:t>
      </w:r>
      <w:r>
        <w:rPr>
          <w:rFonts w:ascii="Calibri" w:eastAsia="Calibri" w:hAnsi="Calibri" w:cs="Calibri"/>
          <w:b/>
          <w:i/>
          <w:color w:val="FF0000"/>
          <w:sz w:val="24"/>
          <w:szCs w:val="24"/>
        </w:rPr>
        <w:t>and predisposition</w:t>
      </w:r>
      <w:r>
        <w:rPr>
          <w:rFonts w:ascii="Calibri" w:eastAsia="Calibri" w:hAnsi="Calibri" w:cs="Calibri"/>
          <w:b/>
          <w:i/>
          <w:color w:val="1155CC"/>
          <w:sz w:val="24"/>
          <w:szCs w:val="24"/>
        </w:rPr>
        <w:t>’ to help make that change happen.”</w:t>
      </w:r>
    </w:p>
    <w:p w14:paraId="7D362B1E" w14:textId="77777777" w:rsidR="005F6ABD" w:rsidRDefault="005F6ABD">
      <w:pPr>
        <w:ind w:left="720"/>
        <w:rPr>
          <w:rFonts w:ascii="Calibri" w:eastAsia="Calibri" w:hAnsi="Calibri" w:cs="Calibri"/>
          <w:i/>
          <w:sz w:val="24"/>
          <w:szCs w:val="24"/>
        </w:rPr>
      </w:pPr>
    </w:p>
    <w:p w14:paraId="22211436" w14:textId="77777777" w:rsidR="005F6ABD" w:rsidRDefault="00000000">
      <w:pPr>
        <w:ind w:left="720"/>
        <w:rPr>
          <w:rFonts w:ascii="Calibri" w:eastAsia="Calibri" w:hAnsi="Calibri" w:cs="Calibri"/>
          <w:sz w:val="24"/>
          <w:szCs w:val="24"/>
        </w:rPr>
      </w:pPr>
      <w:r>
        <w:rPr>
          <w:rFonts w:ascii="Calibri" w:eastAsia="Calibri" w:hAnsi="Calibri" w:cs="Calibri"/>
          <w:sz w:val="24"/>
          <w:szCs w:val="24"/>
        </w:rPr>
        <w:t xml:space="preserve">The logic is essentially that rather than use our very limited resources trying to convert people to thinking as we do; let’s use our very limited resources more efficiently by identifying those who are on a similar wavelength to us already, and find ways to work with them. </w:t>
      </w:r>
    </w:p>
    <w:p w14:paraId="6A112E43" w14:textId="77777777" w:rsidR="005F6ABD" w:rsidRDefault="005F6ABD">
      <w:pPr>
        <w:rPr>
          <w:rFonts w:ascii="Calibri" w:eastAsia="Calibri" w:hAnsi="Calibri" w:cs="Calibri"/>
          <w:sz w:val="24"/>
          <w:szCs w:val="24"/>
        </w:rPr>
      </w:pPr>
    </w:p>
    <w:p w14:paraId="3028A798" w14:textId="77777777" w:rsidR="005F6ABD" w:rsidRDefault="00000000">
      <w:pPr>
        <w:numPr>
          <w:ilvl w:val="0"/>
          <w:numId w:val="3"/>
        </w:numPr>
        <w:rPr>
          <w:rFonts w:ascii="Calibri" w:eastAsia="Calibri" w:hAnsi="Calibri" w:cs="Calibri"/>
          <w:sz w:val="24"/>
          <w:szCs w:val="24"/>
        </w:rPr>
      </w:pPr>
      <w:r>
        <w:rPr>
          <w:rFonts w:ascii="Calibri" w:eastAsia="Calibri" w:hAnsi="Calibri" w:cs="Calibri"/>
          <w:sz w:val="24"/>
          <w:szCs w:val="24"/>
        </w:rPr>
        <w:t>Additional points raised during the discussion</w:t>
      </w:r>
    </w:p>
    <w:p w14:paraId="22B2313C" w14:textId="77777777" w:rsidR="005F6ABD" w:rsidRDefault="00000000">
      <w:pPr>
        <w:numPr>
          <w:ilvl w:val="1"/>
          <w:numId w:val="3"/>
        </w:numPr>
        <w:rPr>
          <w:rFonts w:ascii="Calibri" w:eastAsia="Calibri" w:hAnsi="Calibri" w:cs="Calibri"/>
          <w:sz w:val="24"/>
          <w:szCs w:val="24"/>
        </w:rPr>
      </w:pPr>
      <w:r>
        <w:rPr>
          <w:rFonts w:ascii="Calibri" w:eastAsia="Calibri" w:hAnsi="Calibri" w:cs="Calibri"/>
          <w:sz w:val="24"/>
          <w:szCs w:val="24"/>
        </w:rPr>
        <w:t>TTF needs to get better at defining what it is we want to achieve; what should we focus on?</w:t>
      </w:r>
    </w:p>
    <w:p w14:paraId="29179B6C" w14:textId="77777777" w:rsidR="005F6ABD" w:rsidRDefault="00000000">
      <w:pPr>
        <w:numPr>
          <w:ilvl w:val="1"/>
          <w:numId w:val="3"/>
        </w:numPr>
        <w:rPr>
          <w:rFonts w:ascii="Calibri" w:eastAsia="Calibri" w:hAnsi="Calibri" w:cs="Calibri"/>
          <w:sz w:val="24"/>
          <w:szCs w:val="24"/>
        </w:rPr>
      </w:pPr>
      <w:r>
        <w:rPr>
          <w:rFonts w:ascii="Calibri" w:eastAsia="Calibri" w:hAnsi="Calibri" w:cs="Calibri"/>
          <w:sz w:val="24"/>
          <w:szCs w:val="24"/>
        </w:rPr>
        <w:t>TTF needs to get better at defining the mechanisms we can use to achieve those objectives</w:t>
      </w:r>
    </w:p>
    <w:p w14:paraId="09B242CC" w14:textId="77777777" w:rsidR="005F6ABD" w:rsidRDefault="00000000">
      <w:pPr>
        <w:numPr>
          <w:ilvl w:val="1"/>
          <w:numId w:val="3"/>
        </w:numPr>
        <w:rPr>
          <w:rFonts w:ascii="Calibri" w:eastAsia="Calibri" w:hAnsi="Calibri" w:cs="Calibri"/>
          <w:sz w:val="24"/>
          <w:szCs w:val="24"/>
        </w:rPr>
      </w:pPr>
      <w:r>
        <w:rPr>
          <w:rFonts w:ascii="Calibri" w:eastAsia="Calibri" w:hAnsi="Calibri" w:cs="Calibri"/>
          <w:sz w:val="24"/>
          <w:szCs w:val="24"/>
        </w:rPr>
        <w:t>‘There are a few places TTF could place a sniper’ - stated metaphorically, of course</w:t>
      </w:r>
    </w:p>
    <w:p w14:paraId="16B9474E" w14:textId="77777777" w:rsidR="005F6ABD" w:rsidRDefault="00000000">
      <w:pPr>
        <w:numPr>
          <w:ilvl w:val="1"/>
          <w:numId w:val="3"/>
        </w:numPr>
        <w:rPr>
          <w:rFonts w:ascii="Calibri" w:eastAsia="Calibri" w:hAnsi="Calibri" w:cs="Calibri"/>
          <w:sz w:val="24"/>
          <w:szCs w:val="24"/>
        </w:rPr>
      </w:pPr>
      <w:r>
        <w:rPr>
          <w:rFonts w:ascii="Calibri" w:eastAsia="Calibri" w:hAnsi="Calibri" w:cs="Calibri"/>
          <w:sz w:val="24"/>
          <w:szCs w:val="24"/>
        </w:rPr>
        <w:t>TTF needs to engage with the general public</w:t>
      </w:r>
    </w:p>
    <w:p w14:paraId="5CF141D8" w14:textId="77777777" w:rsidR="005F6ABD" w:rsidRDefault="00000000">
      <w:pPr>
        <w:numPr>
          <w:ilvl w:val="1"/>
          <w:numId w:val="3"/>
        </w:numPr>
        <w:rPr>
          <w:rFonts w:ascii="Calibri" w:eastAsia="Calibri" w:hAnsi="Calibri" w:cs="Calibri"/>
          <w:sz w:val="24"/>
          <w:szCs w:val="24"/>
        </w:rPr>
      </w:pPr>
      <w:r>
        <w:rPr>
          <w:rFonts w:ascii="Calibri" w:eastAsia="Calibri" w:hAnsi="Calibri" w:cs="Calibri"/>
          <w:sz w:val="24"/>
          <w:szCs w:val="24"/>
        </w:rPr>
        <w:t>Utilitarian view make sense; talk to those that can help, even if not mainstream politically</w:t>
      </w:r>
    </w:p>
    <w:p w14:paraId="2E77D263" w14:textId="77777777" w:rsidR="005F6ABD" w:rsidRDefault="00000000">
      <w:pPr>
        <w:numPr>
          <w:ilvl w:val="1"/>
          <w:numId w:val="3"/>
        </w:numPr>
        <w:rPr>
          <w:rFonts w:ascii="Calibri" w:eastAsia="Calibri" w:hAnsi="Calibri" w:cs="Calibri"/>
          <w:sz w:val="24"/>
          <w:szCs w:val="24"/>
        </w:rPr>
      </w:pPr>
      <w:r>
        <w:rPr>
          <w:rFonts w:ascii="Calibri" w:eastAsia="Calibri" w:hAnsi="Calibri" w:cs="Calibri"/>
          <w:sz w:val="24"/>
          <w:szCs w:val="24"/>
        </w:rPr>
        <w:t>TTF should engage more with the establishment; look at other organisations that are more influential that we are, but don’t know what we do, e.g. Which?</w:t>
      </w:r>
    </w:p>
    <w:p w14:paraId="45CEEE6A" w14:textId="77777777" w:rsidR="005F6ABD" w:rsidRDefault="00000000">
      <w:pPr>
        <w:numPr>
          <w:ilvl w:val="1"/>
          <w:numId w:val="3"/>
        </w:numPr>
        <w:rPr>
          <w:rFonts w:ascii="Calibri" w:eastAsia="Calibri" w:hAnsi="Calibri" w:cs="Calibri"/>
          <w:sz w:val="24"/>
          <w:szCs w:val="24"/>
        </w:rPr>
      </w:pPr>
      <w:r>
        <w:rPr>
          <w:rFonts w:ascii="Calibri" w:eastAsia="Calibri" w:hAnsi="Calibri" w:cs="Calibri"/>
          <w:sz w:val="24"/>
          <w:szCs w:val="24"/>
        </w:rPr>
        <w:t>TTF doesn’t need to get the credit for making change happen, just needs to make change happen</w:t>
      </w:r>
    </w:p>
    <w:p w14:paraId="2E9D392B" w14:textId="77777777" w:rsidR="005F6ABD" w:rsidRDefault="00000000">
      <w:pPr>
        <w:numPr>
          <w:ilvl w:val="1"/>
          <w:numId w:val="3"/>
        </w:numPr>
        <w:rPr>
          <w:rFonts w:ascii="Calibri" w:eastAsia="Calibri" w:hAnsi="Calibri" w:cs="Calibri"/>
          <w:sz w:val="24"/>
          <w:szCs w:val="24"/>
        </w:rPr>
      </w:pPr>
      <w:r>
        <w:rPr>
          <w:rFonts w:ascii="Calibri" w:eastAsia="Calibri" w:hAnsi="Calibri" w:cs="Calibri"/>
          <w:sz w:val="24"/>
          <w:szCs w:val="24"/>
        </w:rPr>
        <w:t>Must keep true to our core argument, transparency</w:t>
      </w:r>
    </w:p>
    <w:p w14:paraId="60A6E63C" w14:textId="77777777" w:rsidR="005F6ABD" w:rsidRDefault="00000000">
      <w:pPr>
        <w:numPr>
          <w:ilvl w:val="1"/>
          <w:numId w:val="3"/>
        </w:numPr>
        <w:rPr>
          <w:rFonts w:ascii="Calibri" w:eastAsia="Calibri" w:hAnsi="Calibri" w:cs="Calibri"/>
          <w:sz w:val="24"/>
          <w:szCs w:val="24"/>
        </w:rPr>
      </w:pPr>
      <w:r>
        <w:rPr>
          <w:rFonts w:ascii="Calibri" w:eastAsia="Calibri" w:hAnsi="Calibri" w:cs="Calibri"/>
          <w:sz w:val="24"/>
          <w:szCs w:val="24"/>
        </w:rPr>
        <w:t>Can we/somebody aligned get onto the FCA Board?</w:t>
      </w:r>
    </w:p>
    <w:p w14:paraId="7DDB6DCD" w14:textId="77777777" w:rsidR="005F6ABD" w:rsidRDefault="005F6ABD">
      <w:pPr>
        <w:rPr>
          <w:rFonts w:ascii="Calibri" w:eastAsia="Calibri" w:hAnsi="Calibri" w:cs="Calibri"/>
          <w:sz w:val="24"/>
          <w:szCs w:val="24"/>
          <w:highlight w:val="yellow"/>
        </w:rPr>
      </w:pPr>
    </w:p>
    <w:p w14:paraId="661041CA" w14:textId="77777777" w:rsidR="005F6ABD" w:rsidRDefault="00000000">
      <w:pPr>
        <w:jc w:val="center"/>
        <w:rPr>
          <w:rFonts w:ascii="Calibri" w:eastAsia="Calibri" w:hAnsi="Calibri" w:cs="Calibri"/>
          <w:b/>
          <w:color w:val="0563C1"/>
          <w:sz w:val="32"/>
          <w:szCs w:val="32"/>
        </w:rPr>
      </w:pPr>
      <w:r>
        <w:rPr>
          <w:rFonts w:ascii="Calibri" w:eastAsia="Calibri" w:hAnsi="Calibri" w:cs="Calibri"/>
          <w:b/>
          <w:color w:val="0563C1"/>
          <w:sz w:val="32"/>
          <w:szCs w:val="32"/>
        </w:rPr>
        <w:t xml:space="preserve">NEXT TTF ADVISORY GROUP MEETING  </w:t>
      </w:r>
    </w:p>
    <w:p w14:paraId="18B8C704" w14:textId="77777777" w:rsidR="005F6ABD" w:rsidRDefault="00000000">
      <w:pPr>
        <w:ind w:left="720"/>
        <w:rPr>
          <w:rFonts w:ascii="Calibri" w:eastAsia="Calibri" w:hAnsi="Calibri" w:cs="Calibri"/>
          <w:sz w:val="24"/>
          <w:szCs w:val="24"/>
        </w:rPr>
      </w:pPr>
      <w:r>
        <w:rPr>
          <w:rFonts w:ascii="Calibri" w:eastAsia="Calibri" w:hAnsi="Calibri" w:cs="Calibri"/>
          <w:sz w:val="24"/>
          <w:szCs w:val="24"/>
        </w:rPr>
        <w:t xml:space="preserve"> </w:t>
      </w:r>
    </w:p>
    <w:p w14:paraId="03B795C3" w14:textId="77777777" w:rsidR="005F6ABD" w:rsidRDefault="00000000">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Always the first Tuesday of the month 3:00PM to 4:00PM UK time, on Zoom</w:t>
      </w:r>
    </w:p>
    <w:p w14:paraId="34F8FAE2" w14:textId="77777777" w:rsidR="005F6ABD" w:rsidRDefault="00000000">
      <w:pPr>
        <w:ind w:left="1080" w:hanging="36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So that makes Tuesday 5th August 3:00PM to 4:00PM UK time, on Zoom.</w:t>
      </w:r>
    </w:p>
    <w:sectPr w:rsidR="005F6ABD">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239"/>
    <w:multiLevelType w:val="multilevel"/>
    <w:tmpl w:val="D2104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F31BE"/>
    <w:multiLevelType w:val="multilevel"/>
    <w:tmpl w:val="1CAEB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AB76A8"/>
    <w:multiLevelType w:val="multilevel"/>
    <w:tmpl w:val="94B08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687652"/>
    <w:multiLevelType w:val="multilevel"/>
    <w:tmpl w:val="EAA45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44500D"/>
    <w:multiLevelType w:val="multilevel"/>
    <w:tmpl w:val="841CA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3818795">
    <w:abstractNumId w:val="0"/>
  </w:num>
  <w:num w:numId="2" w16cid:durableId="1888301012">
    <w:abstractNumId w:val="2"/>
  </w:num>
  <w:num w:numId="3" w16cid:durableId="560217106">
    <w:abstractNumId w:val="1"/>
  </w:num>
  <w:num w:numId="4" w16cid:durableId="804009248">
    <w:abstractNumId w:val="3"/>
  </w:num>
  <w:num w:numId="5" w16cid:durableId="63468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BD"/>
    <w:rsid w:val="001B0E16"/>
    <w:rsid w:val="00371EFF"/>
    <w:rsid w:val="005F6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AA19"/>
  <w15:docId w15:val="{E3C025C1-E273-4E22-93E4-6982478E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ransparencytaskforce.org/ttf-ambassadors/" TargetMode="External"/><Relationship Id="rId3" Type="http://schemas.openxmlformats.org/officeDocument/2006/relationships/settings" Target="settings.xml"/><Relationship Id="rId7" Type="http://schemas.openxmlformats.org/officeDocument/2006/relationships/hyperlink" Target="https://www.transparencytaskforce.org/advisory-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refundee_uk/status/1945080145276006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Agathangelou</dc:creator>
  <cp:lastModifiedBy>Andy Agathangelou</cp:lastModifiedBy>
  <cp:revision>2</cp:revision>
  <dcterms:created xsi:type="dcterms:W3CDTF">2025-08-06T19:48:00Z</dcterms:created>
  <dcterms:modified xsi:type="dcterms:W3CDTF">2025-08-06T19:48:00Z</dcterms:modified>
</cp:coreProperties>
</file>